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61F13" w:rsidRDefault="00000000">
      <w:pPr>
        <w:widowControl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АННОТАЦИЯ</w:t>
      </w:r>
    </w:p>
    <w:p w14:paraId="00000002" w14:textId="77777777" w:rsidR="00261F13" w:rsidRDefault="00261F13">
      <w:pPr>
        <w:widowControl w:val="0"/>
        <w:spacing w:after="0" w:line="360" w:lineRule="auto"/>
        <w:jc w:val="both"/>
        <w:rPr>
          <w:rFonts w:ascii="Times New Roman" w:eastAsia="Times New Roman" w:hAnsi="Times New Roman" w:cs="Times New Roman"/>
          <w:sz w:val="28"/>
          <w:szCs w:val="28"/>
        </w:rPr>
      </w:pPr>
    </w:p>
    <w:p w14:paraId="00000003" w14:textId="5295F3B9" w:rsidR="00261F13" w:rsidRDefault="00000000">
      <w:pPr>
        <w:widowControl w:val="0"/>
        <w:spacing w:after="0" w:line="360" w:lineRule="auto"/>
        <w:jc w:val="both"/>
        <w:rPr>
          <w:rFonts w:ascii="Times New Roman" w:eastAsia="Times New Roman" w:hAnsi="Times New Roman" w:cs="Times New Roman"/>
          <w:sz w:val="28"/>
          <w:szCs w:val="28"/>
        </w:rPr>
      </w:pPr>
      <w:bookmarkStart w:id="0" w:name="_heading=h.gjdgxs" w:colFirst="0" w:colLast="0"/>
      <w:bookmarkEnd w:id="0"/>
      <w:r>
        <w:rPr>
          <w:rFonts w:ascii="Times New Roman" w:eastAsia="Times New Roman" w:hAnsi="Times New Roman" w:cs="Times New Roman"/>
          <w:sz w:val="28"/>
          <w:szCs w:val="28"/>
        </w:rPr>
        <w:t xml:space="preserve">Диссертационной работы аспиранта на соискание ученой степени кандидата </w:t>
      </w:r>
      <w:r w:rsidRPr="00BD4F47">
        <w:rPr>
          <w:rFonts w:ascii="Times New Roman" w:eastAsia="Times New Roman" w:hAnsi="Times New Roman" w:cs="Times New Roman"/>
          <w:sz w:val="28"/>
          <w:szCs w:val="28"/>
        </w:rPr>
        <w:t>наук на тему «Получение</w:t>
      </w:r>
      <w:r>
        <w:rPr>
          <w:rFonts w:ascii="Times New Roman" w:eastAsia="Times New Roman" w:hAnsi="Times New Roman" w:cs="Times New Roman"/>
          <w:sz w:val="28"/>
          <w:szCs w:val="28"/>
        </w:rPr>
        <w:t xml:space="preserve"> и исследование фенотипа и функций генно-модифицированных TCR-T-регуляторных клеток, специфичных к эпитопам миелина»</w:t>
      </w:r>
    </w:p>
    <w:p w14:paraId="00000004" w14:textId="77777777" w:rsidR="00261F13" w:rsidRDefault="00000000">
      <w:pPr>
        <w:widowControl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Актуальность темы</w:t>
      </w:r>
    </w:p>
    <w:p w14:paraId="00000005" w14:textId="77777777" w:rsidR="00261F13" w:rsidRDefault="00261F13">
      <w:pPr>
        <w:widowControl w:val="0"/>
        <w:spacing w:after="0" w:line="360" w:lineRule="auto"/>
        <w:jc w:val="both"/>
        <w:rPr>
          <w:rFonts w:ascii="Times New Roman" w:eastAsia="Times New Roman" w:hAnsi="Times New Roman" w:cs="Times New Roman"/>
          <w:sz w:val="28"/>
          <w:szCs w:val="28"/>
        </w:rPr>
      </w:pPr>
    </w:p>
    <w:p w14:paraId="00000006"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Т-клеточная терапия, в настоящее время, является перспективным подходом в иммунотерапии различных заболеваний, в том числе и аутоиммунных заболеваний. Клеточная терапия при аутоиммунных процессах представлена, в основном, использованием CAR-T клеток против B-клеток, но они не дают полного излечения или длительного периода ремиссии. Среди известных </w:t>
      </w:r>
      <w:proofErr w:type="spellStart"/>
      <w:r>
        <w:rPr>
          <w:rFonts w:ascii="Times New Roman" w:eastAsia="Times New Roman" w:hAnsi="Times New Roman" w:cs="Times New Roman"/>
          <w:sz w:val="28"/>
          <w:szCs w:val="28"/>
        </w:rPr>
        <w:t>иммунотерапевтических</w:t>
      </w:r>
      <w:proofErr w:type="spellEnd"/>
      <w:r>
        <w:rPr>
          <w:rFonts w:ascii="Times New Roman" w:eastAsia="Times New Roman" w:hAnsi="Times New Roman" w:cs="Times New Roman"/>
          <w:sz w:val="28"/>
          <w:szCs w:val="28"/>
        </w:rPr>
        <w:t xml:space="preserve"> подходов на сегодняшний день наибольший интерес исследователей вызывают подходы с использованием генно-модифицированных Т-клеток, поскольку генная модификация позволяет существенно расширить терапевтические возможности, ранее ограниченные естественными функциями иммунокомпетентных клеток.</w:t>
      </w:r>
    </w:p>
    <w:p w14:paraId="00000007"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частности, TCR-T-клеточные подходы, основанные на получении популяций Т-клеток с клонированным Т-клеточным рецептором заданной специфичности, уже сейчас стали широко исследуемым терапевтическим средством благодаря своей высокой клинической эффективности. Свою эффективность этот подход показал при лечении онкологических заболеваний. Этот подход можно использовать для разработки клеточной терапии аутоиммунных заболеваний, для которых описан </w:t>
      </w:r>
      <w:proofErr w:type="spellStart"/>
      <w:r>
        <w:rPr>
          <w:rFonts w:ascii="Times New Roman" w:eastAsia="Times New Roman" w:hAnsi="Times New Roman" w:cs="Times New Roman"/>
          <w:sz w:val="28"/>
          <w:szCs w:val="28"/>
        </w:rPr>
        <w:t>аутоантиген</w:t>
      </w:r>
      <w:proofErr w:type="spellEnd"/>
      <w:r>
        <w:rPr>
          <w:rFonts w:ascii="Times New Roman" w:eastAsia="Times New Roman" w:hAnsi="Times New Roman" w:cs="Times New Roman"/>
          <w:sz w:val="28"/>
          <w:szCs w:val="28"/>
        </w:rPr>
        <w:t xml:space="preserve">, против которого развивается аутоиммунный ответ. Одной из таких патологий является заболевание "рассеянный склероз", для которого показано, что клинические изменения обусловлены поражением миелина нервных волокон. В связи с этим, для получения TCR-T клеток в лечении больных рассеянного склероза необходимо решить ряд задач, таких как выбор антигенной мишени </w:t>
      </w:r>
      <w:r>
        <w:rPr>
          <w:rFonts w:ascii="Times New Roman" w:eastAsia="Times New Roman" w:hAnsi="Times New Roman" w:cs="Times New Roman"/>
          <w:sz w:val="28"/>
          <w:szCs w:val="28"/>
        </w:rPr>
        <w:lastRenderedPageBreak/>
        <w:t>(эпитопы миелина), получение стабильной культуры антиген-специфических Т-регуляторных клеток (необходимое количество жизнеспособных клеток, сохраняющие свои функциональные свойства в течение времени, необходимого для реализации их эффекта), учитывая аффинность клеточных рецепторов к своим специфическим мишеням. В связи с этим, высокую актуальность имеют работы, направленные на поиск различных вариантов реализации технологий получения, генетически модифицированных TCR-T регуляторных клеток.</w:t>
      </w:r>
    </w:p>
    <w:p w14:paraId="00000008" w14:textId="77777777" w:rsidR="00261F13" w:rsidRDefault="00000000">
      <w:pPr>
        <w:widowControl w:val="0"/>
        <w:spacing w:after="0" w:line="36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Таким образом, </w:t>
      </w:r>
      <w:r>
        <w:rPr>
          <w:rFonts w:ascii="Times New Roman" w:eastAsia="Times New Roman" w:hAnsi="Times New Roman" w:cs="Times New Roman"/>
          <w:b/>
          <w:sz w:val="28"/>
          <w:szCs w:val="28"/>
        </w:rPr>
        <w:t>целью</w:t>
      </w:r>
      <w:r>
        <w:rPr>
          <w:rFonts w:ascii="Times New Roman" w:eastAsia="Times New Roman" w:hAnsi="Times New Roman" w:cs="Times New Roman"/>
          <w:sz w:val="28"/>
          <w:szCs w:val="28"/>
        </w:rPr>
        <w:t xml:space="preserve"> данной работы является создание генно-модифицированных TCR-T-регуляторных клеток, специфичных к эпитопам миелина, и изучение их фенотипических и функциональных свойств в тестах </w:t>
      </w:r>
      <w:proofErr w:type="spellStart"/>
      <w:r>
        <w:rPr>
          <w:rFonts w:ascii="Times New Roman" w:eastAsia="Times New Roman" w:hAnsi="Times New Roman" w:cs="Times New Roman"/>
          <w:sz w:val="28"/>
          <w:szCs w:val="28"/>
        </w:rPr>
        <w:t>in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vitro</w:t>
      </w:r>
      <w:proofErr w:type="spellEnd"/>
      <w:r>
        <w:rPr>
          <w:rFonts w:ascii="Times New Roman" w:eastAsia="Times New Roman" w:hAnsi="Times New Roman" w:cs="Times New Roman"/>
          <w:sz w:val="28"/>
          <w:szCs w:val="28"/>
        </w:rPr>
        <w:t>.</w:t>
      </w:r>
    </w:p>
    <w:p w14:paraId="00000009" w14:textId="77777777" w:rsidR="00261F13" w:rsidRDefault="00000000">
      <w:pPr>
        <w:widowControl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Задачи:</w:t>
      </w:r>
    </w:p>
    <w:p w14:paraId="0000000A" w14:textId="77777777" w:rsidR="00261F13" w:rsidRDefault="00000000">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Разработка и оптимизация клеточного протокола получения Т-регуляторных клеток с помощью трансдукции генетической конструкции FOXP3</w:t>
      </w:r>
    </w:p>
    <w:p w14:paraId="0000000B" w14:textId="77777777" w:rsidR="00261F13" w:rsidRDefault="00000000">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Клонирование Т-клеточных рецепторов, специфичных к эпитопам миелина с помощью секвенирования РНК единичных CD4+ клеток.</w:t>
      </w:r>
    </w:p>
    <w:p w14:paraId="0000000C" w14:textId="77777777" w:rsidR="00261F13" w:rsidRDefault="00000000">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Дизайн и синтез Т-клеточного рецептора, специфичного к эпитопу миелина.</w:t>
      </w:r>
    </w:p>
    <w:p w14:paraId="0000000D" w14:textId="77777777" w:rsidR="00261F13" w:rsidRDefault="00000000">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Создание </w:t>
      </w:r>
      <w:proofErr w:type="spellStart"/>
      <w:r>
        <w:rPr>
          <w:rFonts w:ascii="Times New Roman" w:eastAsia="Times New Roman" w:hAnsi="Times New Roman" w:cs="Times New Roman"/>
          <w:color w:val="000000"/>
          <w:sz w:val="28"/>
          <w:szCs w:val="28"/>
        </w:rPr>
        <w:t>лентивирусных</w:t>
      </w:r>
      <w:proofErr w:type="spellEnd"/>
      <w:r>
        <w:rPr>
          <w:rFonts w:ascii="Times New Roman" w:eastAsia="Times New Roman" w:hAnsi="Times New Roman" w:cs="Times New Roman"/>
          <w:color w:val="000000"/>
          <w:sz w:val="28"/>
          <w:szCs w:val="28"/>
        </w:rPr>
        <w:t xml:space="preserve"> конструкций, кодирующих выбранные </w:t>
      </w:r>
      <w:proofErr w:type="spellStart"/>
      <w:proofErr w:type="gramStart"/>
      <w:r>
        <w:rPr>
          <w:rFonts w:ascii="Times New Roman" w:eastAsia="Times New Roman" w:hAnsi="Times New Roman" w:cs="Times New Roman"/>
          <w:color w:val="000000"/>
          <w:sz w:val="28"/>
          <w:szCs w:val="28"/>
        </w:rPr>
        <w:t>клонотипы</w:t>
      </w:r>
      <w:proofErr w:type="spellEnd"/>
      <w:r>
        <w:rPr>
          <w:rFonts w:ascii="Times New Roman" w:eastAsia="Times New Roman" w:hAnsi="Times New Roman" w:cs="Times New Roman"/>
          <w:color w:val="000000"/>
          <w:sz w:val="28"/>
          <w:szCs w:val="28"/>
        </w:rPr>
        <w:t>,  и</w:t>
      </w:r>
      <w:proofErr w:type="gramEnd"/>
      <w:r>
        <w:rPr>
          <w:rFonts w:ascii="Times New Roman" w:eastAsia="Times New Roman" w:hAnsi="Times New Roman" w:cs="Times New Roman"/>
          <w:color w:val="000000"/>
          <w:sz w:val="28"/>
          <w:szCs w:val="28"/>
        </w:rPr>
        <w:t xml:space="preserve"> последующая упаковка их в </w:t>
      </w:r>
      <w:proofErr w:type="spellStart"/>
      <w:r>
        <w:rPr>
          <w:rFonts w:ascii="Times New Roman" w:eastAsia="Times New Roman" w:hAnsi="Times New Roman" w:cs="Times New Roman"/>
          <w:color w:val="000000"/>
          <w:sz w:val="28"/>
          <w:szCs w:val="28"/>
        </w:rPr>
        <w:t>лентивирусные</w:t>
      </w:r>
      <w:proofErr w:type="spellEnd"/>
      <w:r>
        <w:rPr>
          <w:rFonts w:ascii="Times New Roman" w:eastAsia="Times New Roman" w:hAnsi="Times New Roman" w:cs="Times New Roman"/>
          <w:color w:val="000000"/>
          <w:sz w:val="28"/>
          <w:szCs w:val="28"/>
        </w:rPr>
        <w:t xml:space="preserve"> частицы</w:t>
      </w:r>
    </w:p>
    <w:p w14:paraId="0000000E" w14:textId="77777777" w:rsidR="00261F13" w:rsidRDefault="00000000">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Трансдукция Т-регуляторных клеток генетической конструкцией и получение ген</w:t>
      </w:r>
      <w:r>
        <w:rPr>
          <w:rFonts w:ascii="Times New Roman" w:eastAsia="Times New Roman" w:hAnsi="Times New Roman" w:cs="Times New Roman"/>
          <w:sz w:val="28"/>
          <w:szCs w:val="28"/>
        </w:rPr>
        <w:t>н</w:t>
      </w:r>
      <w:r>
        <w:rPr>
          <w:rFonts w:ascii="Times New Roman" w:eastAsia="Times New Roman" w:hAnsi="Times New Roman" w:cs="Times New Roman"/>
          <w:color w:val="000000"/>
          <w:sz w:val="28"/>
          <w:szCs w:val="28"/>
        </w:rPr>
        <w:t>о-модифицированных TCR T-регуляторных клеток.</w:t>
      </w:r>
    </w:p>
    <w:p w14:paraId="0000000F" w14:textId="77777777" w:rsidR="00261F13" w:rsidRDefault="00000000">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Изучение фенотипических и функциональных свойств </w:t>
      </w:r>
      <w:proofErr w:type="spellStart"/>
      <w:r>
        <w:rPr>
          <w:rFonts w:ascii="Times New Roman" w:eastAsia="Times New Roman" w:hAnsi="Times New Roman" w:cs="Times New Roman"/>
          <w:color w:val="000000"/>
          <w:sz w:val="28"/>
          <w:szCs w:val="28"/>
        </w:rPr>
        <w:t>генномодифицированных</w:t>
      </w:r>
      <w:proofErr w:type="spellEnd"/>
      <w:r>
        <w:rPr>
          <w:rFonts w:ascii="Times New Roman" w:eastAsia="Times New Roman" w:hAnsi="Times New Roman" w:cs="Times New Roman"/>
          <w:color w:val="000000"/>
          <w:sz w:val="28"/>
          <w:szCs w:val="28"/>
        </w:rPr>
        <w:t xml:space="preserve"> TCR-Т-регуляторных клеток </w:t>
      </w:r>
      <w:proofErr w:type="spellStart"/>
      <w:r>
        <w:rPr>
          <w:rFonts w:ascii="Times New Roman" w:eastAsia="Times New Roman" w:hAnsi="Times New Roman" w:cs="Times New Roman"/>
          <w:color w:val="000000"/>
          <w:sz w:val="28"/>
          <w:szCs w:val="28"/>
        </w:rPr>
        <w:t>in</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vitro</w:t>
      </w:r>
      <w:proofErr w:type="spellEnd"/>
      <w:r>
        <w:rPr>
          <w:rFonts w:ascii="Times New Roman" w:eastAsia="Times New Roman" w:hAnsi="Times New Roman" w:cs="Times New Roman"/>
          <w:color w:val="000000"/>
          <w:sz w:val="28"/>
          <w:szCs w:val="28"/>
        </w:rPr>
        <w:t>.</w:t>
      </w:r>
    </w:p>
    <w:p w14:paraId="00000010" w14:textId="77777777" w:rsidR="00261F13" w:rsidRDefault="00261F13">
      <w:pPr>
        <w:widowControl w:val="0"/>
        <w:spacing w:after="0" w:line="360" w:lineRule="auto"/>
        <w:jc w:val="both"/>
        <w:rPr>
          <w:rFonts w:ascii="Times New Roman" w:eastAsia="Times New Roman" w:hAnsi="Times New Roman" w:cs="Times New Roman"/>
          <w:sz w:val="28"/>
          <w:szCs w:val="28"/>
        </w:rPr>
      </w:pPr>
    </w:p>
    <w:p w14:paraId="00000011"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Материалы и методы:</w:t>
      </w:r>
    </w:p>
    <w:p w14:paraId="00000012"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Методы, которые планируется использовать в ходе выполнения проекта:</w:t>
      </w:r>
    </w:p>
    <w:p w14:paraId="00000013"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Культуральные</w:t>
      </w:r>
      <w:proofErr w:type="spellEnd"/>
      <w:r>
        <w:rPr>
          <w:rFonts w:ascii="Times New Roman" w:eastAsia="Times New Roman" w:hAnsi="Times New Roman" w:cs="Times New Roman"/>
          <w:sz w:val="28"/>
          <w:szCs w:val="28"/>
        </w:rPr>
        <w:t xml:space="preserve"> методы работы с первичными клетками человека и </w:t>
      </w:r>
      <w:r>
        <w:rPr>
          <w:rFonts w:ascii="Times New Roman" w:eastAsia="Times New Roman" w:hAnsi="Times New Roman" w:cs="Times New Roman"/>
          <w:sz w:val="28"/>
          <w:szCs w:val="28"/>
        </w:rPr>
        <w:lastRenderedPageBreak/>
        <w:t>клеточными линиями</w:t>
      </w:r>
    </w:p>
    <w:p w14:paraId="00000014"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rPr>
        <w:tab/>
        <w:t xml:space="preserve">Методы вирусной трансдукции генетических конструкций. </w:t>
      </w:r>
    </w:p>
    <w:p w14:paraId="00000015"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28"/>
          <w:szCs w:val="28"/>
        </w:rPr>
        <w:tab/>
        <w:t>Методы проточной сортировки, а также методы позитивной и негативной магнитной сортировки.</w:t>
      </w:r>
    </w:p>
    <w:p w14:paraId="00000016"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28"/>
          <w:szCs w:val="28"/>
        </w:rPr>
        <w:tab/>
        <w:t xml:space="preserve">Метод окраски </w:t>
      </w:r>
      <w:proofErr w:type="spellStart"/>
      <w:r>
        <w:rPr>
          <w:rFonts w:ascii="Times New Roman" w:eastAsia="Times New Roman" w:hAnsi="Times New Roman" w:cs="Times New Roman"/>
          <w:sz w:val="28"/>
          <w:szCs w:val="28"/>
        </w:rPr>
        <w:t>антигенспецифического</w:t>
      </w:r>
      <w:proofErr w:type="spellEnd"/>
      <w:r>
        <w:rPr>
          <w:rFonts w:ascii="Times New Roman" w:eastAsia="Times New Roman" w:hAnsi="Times New Roman" w:cs="Times New Roman"/>
          <w:sz w:val="28"/>
          <w:szCs w:val="28"/>
        </w:rPr>
        <w:t xml:space="preserve"> рецептора по технологии </w:t>
      </w:r>
      <w:proofErr w:type="spellStart"/>
      <w:r>
        <w:rPr>
          <w:rFonts w:ascii="Times New Roman" w:eastAsia="Times New Roman" w:hAnsi="Times New Roman" w:cs="Times New Roman"/>
          <w:sz w:val="28"/>
          <w:szCs w:val="28"/>
        </w:rPr>
        <w:t>FlexT</w:t>
      </w:r>
      <w:proofErr w:type="spellEnd"/>
      <w:r>
        <w:rPr>
          <w:rFonts w:ascii="Times New Roman" w:eastAsia="Times New Roman" w:hAnsi="Times New Roman" w:cs="Times New Roman"/>
          <w:sz w:val="28"/>
          <w:szCs w:val="28"/>
        </w:rPr>
        <w:t xml:space="preserve"> </w:t>
      </w:r>
    </w:p>
    <w:p w14:paraId="00000017"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sz w:val="28"/>
          <w:szCs w:val="28"/>
        </w:rPr>
        <w:tab/>
        <w:t>Анализ транскриптома единичных клеток (</w:t>
      </w:r>
      <w:proofErr w:type="spellStart"/>
      <w:r>
        <w:rPr>
          <w:rFonts w:ascii="Times New Roman" w:eastAsia="Times New Roman" w:hAnsi="Times New Roman" w:cs="Times New Roman"/>
          <w:sz w:val="28"/>
          <w:szCs w:val="28"/>
        </w:rPr>
        <w:t>scRNA-seq</w:t>
      </w:r>
      <w:proofErr w:type="spellEnd"/>
      <w:r>
        <w:rPr>
          <w:rFonts w:ascii="Times New Roman" w:eastAsia="Times New Roman" w:hAnsi="Times New Roman" w:cs="Times New Roman"/>
          <w:sz w:val="28"/>
          <w:szCs w:val="28"/>
        </w:rPr>
        <w:t>)</w:t>
      </w:r>
    </w:p>
    <w:p w14:paraId="00000018"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Биоинформатический</w:t>
      </w:r>
      <w:proofErr w:type="spellEnd"/>
      <w:r>
        <w:rPr>
          <w:rFonts w:ascii="Times New Roman" w:eastAsia="Times New Roman" w:hAnsi="Times New Roman" w:cs="Times New Roman"/>
          <w:sz w:val="28"/>
          <w:szCs w:val="28"/>
        </w:rPr>
        <w:t xml:space="preserve"> анализ </w:t>
      </w:r>
      <w:proofErr w:type="spellStart"/>
      <w:r>
        <w:rPr>
          <w:rFonts w:ascii="Times New Roman" w:eastAsia="Times New Roman" w:hAnsi="Times New Roman" w:cs="Times New Roman"/>
          <w:sz w:val="28"/>
          <w:szCs w:val="28"/>
        </w:rPr>
        <w:t>клонотипов</w:t>
      </w:r>
      <w:proofErr w:type="spellEnd"/>
      <w:r>
        <w:rPr>
          <w:rFonts w:ascii="Times New Roman" w:eastAsia="Times New Roman" w:hAnsi="Times New Roman" w:cs="Times New Roman"/>
          <w:sz w:val="28"/>
          <w:szCs w:val="28"/>
        </w:rPr>
        <w:t>, анализ аффинности</w:t>
      </w:r>
    </w:p>
    <w:p w14:paraId="00000019"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Pr>
          <w:rFonts w:ascii="Times New Roman" w:eastAsia="Times New Roman" w:hAnsi="Times New Roman" w:cs="Times New Roman"/>
          <w:sz w:val="28"/>
          <w:szCs w:val="28"/>
        </w:rPr>
        <w:tab/>
        <w:t xml:space="preserve">Синтез конструкций и упаковка в </w:t>
      </w:r>
      <w:proofErr w:type="spellStart"/>
      <w:r>
        <w:rPr>
          <w:rFonts w:ascii="Times New Roman" w:eastAsia="Times New Roman" w:hAnsi="Times New Roman" w:cs="Times New Roman"/>
          <w:sz w:val="28"/>
          <w:szCs w:val="28"/>
        </w:rPr>
        <w:t>лентивирусные</w:t>
      </w:r>
      <w:proofErr w:type="spellEnd"/>
      <w:r>
        <w:rPr>
          <w:rFonts w:ascii="Times New Roman" w:eastAsia="Times New Roman" w:hAnsi="Times New Roman" w:cs="Times New Roman"/>
          <w:sz w:val="28"/>
          <w:szCs w:val="28"/>
        </w:rPr>
        <w:t xml:space="preserve"> частицы</w:t>
      </w:r>
    </w:p>
    <w:p w14:paraId="0000001A"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Pr>
          <w:rFonts w:ascii="Times New Roman" w:eastAsia="Times New Roman" w:hAnsi="Times New Roman" w:cs="Times New Roman"/>
          <w:sz w:val="28"/>
          <w:szCs w:val="28"/>
        </w:rPr>
        <w:tab/>
        <w:t xml:space="preserve">Методы проточной </w:t>
      </w:r>
      <w:proofErr w:type="spellStart"/>
      <w:r>
        <w:rPr>
          <w:rFonts w:ascii="Times New Roman" w:eastAsia="Times New Roman" w:hAnsi="Times New Roman" w:cs="Times New Roman"/>
          <w:sz w:val="28"/>
          <w:szCs w:val="28"/>
        </w:rPr>
        <w:t>цитометрии</w:t>
      </w:r>
      <w:proofErr w:type="spellEnd"/>
      <w:r>
        <w:rPr>
          <w:rFonts w:ascii="Times New Roman" w:eastAsia="Times New Roman" w:hAnsi="Times New Roman" w:cs="Times New Roman"/>
          <w:sz w:val="28"/>
          <w:szCs w:val="28"/>
        </w:rPr>
        <w:t xml:space="preserve"> для оценки </w:t>
      </w:r>
      <w:proofErr w:type="gramStart"/>
      <w:r>
        <w:rPr>
          <w:rFonts w:ascii="Times New Roman" w:eastAsia="Times New Roman" w:hAnsi="Times New Roman" w:cs="Times New Roman"/>
          <w:sz w:val="28"/>
          <w:szCs w:val="28"/>
        </w:rPr>
        <w:t>фенотипических  и</w:t>
      </w:r>
      <w:proofErr w:type="gramEnd"/>
      <w:r>
        <w:rPr>
          <w:rFonts w:ascii="Times New Roman" w:eastAsia="Times New Roman" w:hAnsi="Times New Roman" w:cs="Times New Roman"/>
          <w:sz w:val="28"/>
          <w:szCs w:val="28"/>
        </w:rPr>
        <w:t xml:space="preserve"> функциональных характеристик клеток. </w:t>
      </w:r>
    </w:p>
    <w:p w14:paraId="0000001B"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Pr>
          <w:rFonts w:ascii="Times New Roman" w:eastAsia="Times New Roman" w:hAnsi="Times New Roman" w:cs="Times New Roman"/>
          <w:sz w:val="28"/>
          <w:szCs w:val="28"/>
        </w:rPr>
        <w:tab/>
        <w:t xml:space="preserve">Анализ продукции цитокинов: иммуноферментный анализ, анализ на проточном </w:t>
      </w:r>
      <w:proofErr w:type="spellStart"/>
      <w:r>
        <w:rPr>
          <w:rFonts w:ascii="Times New Roman" w:eastAsia="Times New Roman" w:hAnsi="Times New Roman" w:cs="Times New Roman"/>
          <w:sz w:val="28"/>
          <w:szCs w:val="28"/>
        </w:rPr>
        <w:t>цитометре</w:t>
      </w:r>
      <w:proofErr w:type="spellEnd"/>
    </w:p>
    <w:p w14:paraId="0000001C"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Pr>
          <w:rFonts w:ascii="Times New Roman" w:eastAsia="Times New Roman" w:hAnsi="Times New Roman" w:cs="Times New Roman"/>
          <w:sz w:val="28"/>
          <w:szCs w:val="28"/>
        </w:rPr>
        <w:tab/>
        <w:t>ПЦР</w:t>
      </w:r>
    </w:p>
    <w:p w14:paraId="0000001D"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Статистический анализ данных</w:t>
      </w:r>
    </w:p>
    <w:p w14:paraId="0000001E" w14:textId="77777777" w:rsidR="00261F13" w:rsidRDefault="00261F13">
      <w:pPr>
        <w:widowControl w:val="0"/>
        <w:spacing w:after="0" w:line="360" w:lineRule="auto"/>
        <w:jc w:val="both"/>
        <w:rPr>
          <w:rFonts w:ascii="Times New Roman" w:eastAsia="Times New Roman" w:hAnsi="Times New Roman" w:cs="Times New Roman"/>
          <w:sz w:val="28"/>
          <w:szCs w:val="28"/>
        </w:rPr>
      </w:pPr>
    </w:p>
    <w:p w14:paraId="0000001F"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Объектом исследования будут являться </w:t>
      </w:r>
      <w:proofErr w:type="spellStart"/>
      <w:r>
        <w:rPr>
          <w:rFonts w:ascii="Times New Roman" w:eastAsia="Times New Roman" w:hAnsi="Times New Roman" w:cs="Times New Roman"/>
          <w:sz w:val="28"/>
          <w:szCs w:val="28"/>
        </w:rPr>
        <w:t>мононуклеарные</w:t>
      </w:r>
      <w:proofErr w:type="spellEnd"/>
      <w:r>
        <w:rPr>
          <w:rFonts w:ascii="Times New Roman" w:eastAsia="Times New Roman" w:hAnsi="Times New Roman" w:cs="Times New Roman"/>
          <w:sz w:val="28"/>
          <w:szCs w:val="28"/>
        </w:rPr>
        <w:t xml:space="preserve"> клетки условно-здоровых доноров, несущих по результатам генотипирования аллель HLA-DRB1*1501. </w:t>
      </w:r>
    </w:p>
    <w:p w14:paraId="00000020"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Из периферической крови будут выделены чистые популяции антиген-специфических Т-лимфоцитов, с помощью технологии секвенирования РНК единичных клеток будет определена нуклеотидная последовательность альфа и бета цепей Т клеточного рецептора специфичного к эпитопу миелина. </w:t>
      </w:r>
    </w:p>
    <w:p w14:paraId="00000021"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Генетическая конструкция Т клеточного рецептора специфичного к миелину будет использована для трансдукции Т-регуляторных клеток, которые будут получены </w:t>
      </w:r>
      <w:proofErr w:type="spellStart"/>
      <w:r>
        <w:rPr>
          <w:rFonts w:ascii="Times New Roman" w:eastAsia="Times New Roman" w:hAnsi="Times New Roman" w:cs="Times New Roman"/>
          <w:i/>
          <w:sz w:val="28"/>
          <w:szCs w:val="28"/>
        </w:rPr>
        <w:t>in</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vitro</w:t>
      </w:r>
      <w:proofErr w:type="spellEnd"/>
      <w:r>
        <w:rPr>
          <w:rFonts w:ascii="Times New Roman" w:eastAsia="Times New Roman" w:hAnsi="Times New Roman" w:cs="Times New Roman"/>
          <w:sz w:val="28"/>
          <w:szCs w:val="28"/>
        </w:rPr>
        <w:t xml:space="preserve">. Оценка функциональной и фенотипической характеристики индуцированных антиген-специфичных FOXP3+Трег (поверхностные и внутриклеточные маркеры активации, пролиферативная активность на антиген, оценка подавление цитотоксической активности в совместной культуре с </w:t>
      </w:r>
      <w:proofErr w:type="spellStart"/>
      <w:r>
        <w:rPr>
          <w:rFonts w:ascii="Times New Roman" w:eastAsia="Times New Roman" w:hAnsi="Times New Roman" w:cs="Times New Roman"/>
          <w:sz w:val="28"/>
          <w:szCs w:val="28"/>
        </w:rPr>
        <w:t>трансдуцированными</w:t>
      </w:r>
      <w:proofErr w:type="spellEnd"/>
      <w:r>
        <w:rPr>
          <w:rFonts w:ascii="Times New Roman" w:eastAsia="Times New Roman" w:hAnsi="Times New Roman" w:cs="Times New Roman"/>
          <w:sz w:val="28"/>
          <w:szCs w:val="28"/>
        </w:rPr>
        <w:t xml:space="preserve"> пептидом клетками методами проточной </w:t>
      </w:r>
      <w:proofErr w:type="spellStart"/>
      <w:r>
        <w:rPr>
          <w:rFonts w:ascii="Times New Roman" w:eastAsia="Times New Roman" w:hAnsi="Times New Roman" w:cs="Times New Roman"/>
          <w:sz w:val="28"/>
          <w:szCs w:val="28"/>
        </w:rPr>
        <w:t>цитометрии</w:t>
      </w:r>
      <w:proofErr w:type="spellEnd"/>
      <w:r>
        <w:rPr>
          <w:rFonts w:ascii="Times New Roman" w:eastAsia="Times New Roman" w:hAnsi="Times New Roman" w:cs="Times New Roman"/>
          <w:sz w:val="28"/>
          <w:szCs w:val="28"/>
        </w:rPr>
        <w:t xml:space="preserve"> и иммуноферментного анализа.</w:t>
      </w:r>
    </w:p>
    <w:p w14:paraId="00000022" w14:textId="77777777" w:rsidR="00261F13" w:rsidRDefault="00261F13">
      <w:pPr>
        <w:widowControl w:val="0"/>
        <w:spacing w:after="0" w:line="360" w:lineRule="auto"/>
        <w:jc w:val="both"/>
        <w:rPr>
          <w:rFonts w:ascii="Times New Roman" w:eastAsia="Times New Roman" w:hAnsi="Times New Roman" w:cs="Times New Roman"/>
          <w:sz w:val="28"/>
          <w:szCs w:val="28"/>
        </w:rPr>
      </w:pPr>
    </w:p>
    <w:p w14:paraId="00000023"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Ожидаемые результаты:</w:t>
      </w:r>
    </w:p>
    <w:p w14:paraId="00000024"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Будут получены TCR-T-регуляторные клетки, специфичные к эпитопу миелина нервных клеток. Будет проведен фенотипический и функциональный анализ получаемых генно-модифицированных Т-регуляторных клеток </w:t>
      </w:r>
      <w:proofErr w:type="spellStart"/>
      <w:r>
        <w:rPr>
          <w:rFonts w:ascii="Times New Roman" w:eastAsia="Times New Roman" w:hAnsi="Times New Roman" w:cs="Times New Roman"/>
          <w:i/>
          <w:sz w:val="28"/>
          <w:szCs w:val="28"/>
        </w:rPr>
        <w:t>in</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vitro</w:t>
      </w:r>
      <w:proofErr w:type="spellEnd"/>
      <w:r>
        <w:rPr>
          <w:rFonts w:ascii="Times New Roman" w:eastAsia="Times New Roman" w:hAnsi="Times New Roman" w:cs="Times New Roman"/>
          <w:sz w:val="28"/>
          <w:szCs w:val="28"/>
        </w:rPr>
        <w:t>.</w:t>
      </w:r>
    </w:p>
    <w:p w14:paraId="00000025" w14:textId="77777777" w:rsidR="00261F13" w:rsidRDefault="00261F13">
      <w:pPr>
        <w:widowControl w:val="0"/>
        <w:spacing w:after="0" w:line="360" w:lineRule="auto"/>
        <w:jc w:val="both"/>
        <w:rPr>
          <w:rFonts w:ascii="Times New Roman" w:eastAsia="Times New Roman" w:hAnsi="Times New Roman" w:cs="Times New Roman"/>
          <w:sz w:val="28"/>
          <w:szCs w:val="28"/>
        </w:rPr>
      </w:pPr>
    </w:p>
    <w:p w14:paraId="00000026"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Научный руководитель</w:t>
      </w:r>
    </w:p>
    <w:p w14:paraId="00000027" w14:textId="77777777" w:rsidR="00261F13" w:rsidRDefault="00000000">
      <w:pPr>
        <w:widowControl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д.м.н., профессор                                                       С.В. Сенников</w:t>
      </w:r>
    </w:p>
    <w:sectPr w:rsidR="00261F13">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1666AE"/>
    <w:multiLevelType w:val="multilevel"/>
    <w:tmpl w:val="B62C54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54162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F13"/>
    <w:rsid w:val="00036DAD"/>
    <w:rsid w:val="00185B57"/>
    <w:rsid w:val="00191D6D"/>
    <w:rsid w:val="001F091E"/>
    <w:rsid w:val="00261F13"/>
    <w:rsid w:val="0043332B"/>
    <w:rsid w:val="00BD4F47"/>
    <w:rsid w:val="00D67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D40F23-5587-432B-AEFA-D27DFBAC3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3C6E"/>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link w:val="a4"/>
    <w:uiPriority w:val="10"/>
    <w:qFormat/>
    <w:rsid w:val="00C75D5E"/>
    <w:pPr>
      <w:spacing w:after="0" w:line="240" w:lineRule="auto"/>
      <w:jc w:val="center"/>
    </w:pPr>
    <w:rPr>
      <w:rFonts w:ascii="Times New Roman" w:eastAsia="Times New Roman" w:hAnsi="Times New Roman" w:cs="Times New Roman"/>
      <w:b/>
      <w:sz w:val="20"/>
      <w:szCs w:val="20"/>
    </w:rPr>
  </w:style>
  <w:style w:type="character" w:customStyle="1" w:styleId="a4">
    <w:name w:val="Заголовок Знак"/>
    <w:basedOn w:val="a0"/>
    <w:link w:val="a3"/>
    <w:rsid w:val="00C75D5E"/>
    <w:rPr>
      <w:rFonts w:ascii="Times New Roman" w:eastAsia="Times New Roman" w:hAnsi="Times New Roman" w:cs="Times New Roman"/>
      <w:b/>
      <w:sz w:val="20"/>
      <w:szCs w:val="20"/>
      <w:lang w:eastAsia="ru-RU"/>
    </w:rPr>
  </w:style>
  <w:style w:type="paragraph" w:styleId="a5">
    <w:name w:val="No Spacing"/>
    <w:uiPriority w:val="1"/>
    <w:qFormat/>
    <w:rsid w:val="00C75D5E"/>
    <w:pPr>
      <w:spacing w:after="0" w:line="360" w:lineRule="auto"/>
      <w:ind w:firstLine="567"/>
      <w:jc w:val="both"/>
    </w:pPr>
    <w:rPr>
      <w:rFonts w:ascii="Times New Roman" w:eastAsia="Times New Roman" w:hAnsi="Times New Roman" w:cs="Times New Roman"/>
      <w:sz w:val="24"/>
    </w:rPr>
  </w:style>
  <w:style w:type="character" w:customStyle="1" w:styleId="apple-style-span">
    <w:name w:val="apple-style-span"/>
    <w:rsid w:val="00C75D5E"/>
  </w:style>
  <w:style w:type="paragraph" w:styleId="a6">
    <w:name w:val="Revision"/>
    <w:hidden/>
    <w:uiPriority w:val="99"/>
    <w:semiHidden/>
    <w:rsid w:val="005E5FA8"/>
    <w:pPr>
      <w:spacing w:after="0" w:line="240" w:lineRule="auto"/>
    </w:pPr>
  </w:style>
  <w:style w:type="paragraph" w:styleId="a7">
    <w:name w:val="Balloon Text"/>
    <w:basedOn w:val="a"/>
    <w:link w:val="a8"/>
    <w:uiPriority w:val="99"/>
    <w:semiHidden/>
    <w:unhideWhenUsed/>
    <w:rsid w:val="007E499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E4992"/>
    <w:rPr>
      <w:rFonts w:ascii="Tahoma" w:hAnsi="Tahoma" w:cs="Tahoma"/>
      <w:sz w:val="16"/>
      <w:szCs w:val="16"/>
    </w:rPr>
  </w:style>
  <w:style w:type="paragraph" w:styleId="a9">
    <w:name w:val="List Paragraph"/>
    <w:basedOn w:val="a"/>
    <w:uiPriority w:val="34"/>
    <w:qFormat/>
    <w:rsid w:val="004A3C2B"/>
    <w:pPr>
      <w:ind w:left="720"/>
      <w:contextualSpacing/>
    </w:pPr>
  </w:style>
  <w:style w:type="paragraph" w:styleId="aa">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Jm8AWnhBQ33Ef1z+xO1x8zRJgg==">CgMxLjAyCGguZ2pkZ3hzOAByITFjWGVicXlpbkZTVktoQ1pDRWdTZjBDZUhjVFJIc3ZweA==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771</Words>
  <Characters>4399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Витальевич Сенников</dc:creator>
  <cp:lastModifiedBy>Ольга Воробьева</cp:lastModifiedBy>
  <cp:revision>3</cp:revision>
  <dcterms:created xsi:type="dcterms:W3CDTF">2024-07-09T04:15:00Z</dcterms:created>
  <dcterms:modified xsi:type="dcterms:W3CDTF">2024-07-09T06:28:00Z</dcterms:modified>
</cp:coreProperties>
</file>